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6F8BE" w14:textId="77777777" w:rsidR="00AD4A32" w:rsidRPr="00F57E88" w:rsidRDefault="00F57E88">
      <w:pPr>
        <w:rPr>
          <w:rFonts w:asciiTheme="majorEastAsia" w:eastAsiaTheme="majorEastAsia" w:hAnsiTheme="majorEastAsia" w:cs="黑体"/>
          <w:sz w:val="21"/>
          <w:szCs w:val="21"/>
        </w:rPr>
      </w:pPr>
      <w:bookmarkStart w:id="0" w:name="红头"/>
      <w:r w:rsidRPr="00F57E88">
        <w:rPr>
          <w:rFonts w:asciiTheme="majorEastAsia" w:eastAsiaTheme="majorEastAsia" w:hAnsiTheme="majorEastAsia" w:cs="黑体" w:hint="eastAsia"/>
          <w:sz w:val="22"/>
          <w:szCs w:val="22"/>
        </w:rPr>
        <w:t>附件</w:t>
      </w:r>
    </w:p>
    <w:p w14:paraId="7F114804" w14:textId="77777777" w:rsidR="00AD4A32" w:rsidRPr="00F57E88" w:rsidRDefault="00F57E88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bCs/>
          <w:szCs w:val="32"/>
        </w:rPr>
      </w:pPr>
      <w:r w:rsidRPr="00F57E88">
        <w:rPr>
          <w:rFonts w:asciiTheme="majorEastAsia" w:eastAsiaTheme="majorEastAsia" w:hAnsiTheme="majorEastAsia" w:cs="宋体" w:hint="eastAsia"/>
          <w:b/>
          <w:bCs/>
          <w:szCs w:val="32"/>
        </w:rPr>
        <w:t>共轭亚油酸、共轭亚油酸甘油酯、</w:t>
      </w:r>
    </w:p>
    <w:p w14:paraId="5504CE18" w14:textId="77777777" w:rsidR="00AD4A32" w:rsidRPr="00F57E88" w:rsidRDefault="00F57E88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b/>
          <w:bCs/>
          <w:szCs w:val="32"/>
        </w:rPr>
      </w:pPr>
      <w:r w:rsidRPr="00F57E88">
        <w:rPr>
          <w:rFonts w:asciiTheme="majorEastAsia" w:eastAsiaTheme="majorEastAsia" w:hAnsiTheme="majorEastAsia" w:cs="宋体" w:hint="eastAsia"/>
          <w:b/>
          <w:bCs/>
          <w:szCs w:val="32"/>
        </w:rPr>
        <w:t>甘油二酯油</w:t>
      </w:r>
    </w:p>
    <w:p w14:paraId="34634650" w14:textId="77777777" w:rsidR="00AD4A32" w:rsidRPr="00F57E88" w:rsidRDefault="00AD4A32">
      <w:pPr>
        <w:ind w:firstLineChars="200" w:firstLine="440"/>
        <w:jc w:val="left"/>
        <w:rPr>
          <w:rFonts w:asciiTheme="majorEastAsia" w:eastAsiaTheme="majorEastAsia" w:hAnsiTheme="majorEastAsia" w:cs="黑体"/>
          <w:sz w:val="22"/>
          <w:szCs w:val="22"/>
        </w:rPr>
      </w:pPr>
    </w:p>
    <w:p w14:paraId="5F8D2B80" w14:textId="77777777" w:rsidR="00AD4A32" w:rsidRPr="00F57E88" w:rsidRDefault="00F57E88">
      <w:pPr>
        <w:spacing w:line="560" w:lineRule="exact"/>
        <w:ind w:firstLineChars="145" w:firstLine="319"/>
        <w:rPr>
          <w:rFonts w:asciiTheme="majorEastAsia" w:eastAsiaTheme="majorEastAsia" w:hAnsiTheme="majorEastAsia" w:cs="黑体"/>
          <w:color w:val="000000"/>
          <w:kern w:val="0"/>
          <w:sz w:val="22"/>
          <w:szCs w:val="22"/>
        </w:rPr>
      </w:pPr>
      <w:r w:rsidRPr="00F57E88">
        <w:rPr>
          <w:rFonts w:asciiTheme="majorEastAsia" w:eastAsiaTheme="majorEastAsia" w:hAnsiTheme="majorEastAsia" w:cs="黑体" w:hint="eastAsia"/>
          <w:color w:val="000000"/>
          <w:kern w:val="0"/>
          <w:sz w:val="22"/>
          <w:szCs w:val="22"/>
        </w:rPr>
        <w:t>一、共轭亚油酸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3125"/>
        <w:gridCol w:w="3999"/>
      </w:tblGrid>
      <w:tr w:rsidR="00AD4A32" w:rsidRPr="00F57E88" w14:paraId="521AD760" w14:textId="77777777">
        <w:trPr>
          <w:cantSplit/>
          <w:trHeight w:val="20"/>
        </w:trPr>
        <w:tc>
          <w:tcPr>
            <w:tcW w:w="1497" w:type="dxa"/>
          </w:tcPr>
          <w:p w14:paraId="45CAAF6E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中文名称</w:t>
            </w:r>
          </w:p>
        </w:tc>
        <w:tc>
          <w:tcPr>
            <w:tcW w:w="7124" w:type="dxa"/>
            <w:gridSpan w:val="2"/>
            <w:vAlign w:val="center"/>
          </w:tcPr>
          <w:p w14:paraId="0BB8F850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</w:p>
        </w:tc>
      </w:tr>
      <w:tr w:rsidR="00AD4A32" w:rsidRPr="00F57E88" w14:paraId="2C22FE85" w14:textId="77777777">
        <w:trPr>
          <w:cantSplit/>
          <w:trHeight w:val="20"/>
        </w:trPr>
        <w:tc>
          <w:tcPr>
            <w:tcW w:w="1497" w:type="dxa"/>
          </w:tcPr>
          <w:p w14:paraId="6AC54E32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英文名称</w:t>
            </w:r>
          </w:p>
        </w:tc>
        <w:tc>
          <w:tcPr>
            <w:tcW w:w="7124" w:type="dxa"/>
            <w:gridSpan w:val="2"/>
            <w:vAlign w:val="center"/>
          </w:tcPr>
          <w:p w14:paraId="2E55C994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Conjugated Linoleic Acid</w:t>
            </w:r>
          </w:p>
        </w:tc>
      </w:tr>
      <w:tr w:rsidR="00AD4A32" w:rsidRPr="00F57E88" w14:paraId="506BAC82" w14:textId="77777777">
        <w:trPr>
          <w:cantSplit/>
          <w:trHeight w:val="20"/>
        </w:trPr>
        <w:tc>
          <w:tcPr>
            <w:tcW w:w="1497" w:type="dxa"/>
          </w:tcPr>
          <w:p w14:paraId="558B004B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</w:t>
            </w:r>
          </w:p>
        </w:tc>
        <w:tc>
          <w:tcPr>
            <w:tcW w:w="7124" w:type="dxa"/>
            <w:gridSpan w:val="2"/>
            <w:vAlign w:val="center"/>
          </w:tcPr>
          <w:p w14:paraId="50971E21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（主要为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异构体）</w:t>
            </w:r>
          </w:p>
        </w:tc>
      </w:tr>
      <w:tr w:rsidR="00AD4A32" w:rsidRPr="00F57E88" w14:paraId="1CC0BF1C" w14:textId="77777777">
        <w:trPr>
          <w:cantSplit/>
          <w:trHeight w:val="170"/>
        </w:trPr>
        <w:tc>
          <w:tcPr>
            <w:tcW w:w="1497" w:type="dxa"/>
          </w:tcPr>
          <w:p w14:paraId="4DC5CCDE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基本信息</w:t>
            </w:r>
          </w:p>
        </w:tc>
        <w:tc>
          <w:tcPr>
            <w:tcW w:w="7124" w:type="dxa"/>
            <w:gridSpan w:val="2"/>
          </w:tcPr>
          <w:p w14:paraId="38515217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来源：红花籽油</w:t>
            </w:r>
          </w:p>
          <w:p w14:paraId="22C71659" w14:textId="77777777" w:rsidR="00AD4A32" w:rsidRPr="00F57E88" w:rsidRDefault="00F57E8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主要成分的结构式：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object w:dxaOrig="5490" w:dyaOrig="840" w14:anchorId="28DFB9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42pt" o:ole="">
                  <v:imagedata r:id="rId7" o:title=""/>
                </v:shape>
                <o:OLEObject Type="Embed" ProgID="PBrush" ShapeID="_x0000_i1025" DrawAspect="Content" ObjectID="_1690611806" r:id="rId8"/>
              </w:object>
            </w:r>
            <w:r w:rsidRPr="00F57E88">
              <w:rPr>
                <w:rFonts w:asciiTheme="majorEastAsia" w:eastAsiaTheme="majorEastAsia" w:hAnsiTheme="majorEastAsia"/>
                <w:color w:val="000000"/>
                <w:kern w:val="0"/>
                <w:sz w:val="21"/>
                <w:szCs w:val="22"/>
              </w:rPr>
              <w:t>9c,11t</w:t>
            </w:r>
          </w:p>
          <w:p w14:paraId="4AB10D94" w14:textId="77777777" w:rsidR="00AD4A32" w:rsidRPr="00F57E88" w:rsidRDefault="00F57E8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object w:dxaOrig="5445" w:dyaOrig="750" w14:anchorId="29E32D84">
                <v:shape id="_x0000_i1026" type="#_x0000_t75" style="width:272.25pt;height:37.5pt" o:ole="">
                  <v:imagedata r:id="rId9" o:title=""/>
                </v:shape>
                <o:OLEObject Type="Embed" ProgID="PBrush" ShapeID="_x0000_i1026" DrawAspect="Content" ObjectID="_1690611807" r:id="rId10"/>
              </w:object>
            </w:r>
            <w:r w:rsidRPr="00F57E88">
              <w:rPr>
                <w:rFonts w:asciiTheme="majorEastAsia" w:eastAsiaTheme="majorEastAsia" w:hAnsiTheme="majorEastAsia"/>
                <w:color w:val="000000"/>
                <w:kern w:val="0"/>
                <w:sz w:val="21"/>
                <w:szCs w:val="22"/>
              </w:rPr>
              <w:t>10t,12c</w:t>
            </w:r>
          </w:p>
          <w:p w14:paraId="0562B7EB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顺式结构，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反式结构）</w:t>
            </w:r>
          </w:p>
          <w:p w14:paraId="37365AFC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分子式：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  <w:vertAlign w:val="subscript"/>
              </w:rPr>
              <w:t>18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H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  <w:vertAlign w:val="subscript"/>
              </w:rPr>
              <w:t>32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O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  <w:vertAlign w:val="subscript"/>
              </w:rPr>
              <w:t>2</w:t>
            </w:r>
          </w:p>
          <w:p w14:paraId="3B4D3A42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分子量：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280.44</w:t>
            </w:r>
          </w:p>
        </w:tc>
      </w:tr>
      <w:tr w:rsidR="00AD4A32" w:rsidRPr="00F57E88" w14:paraId="3E15B577" w14:textId="77777777">
        <w:trPr>
          <w:cantSplit/>
          <w:trHeight w:val="20"/>
        </w:trPr>
        <w:tc>
          <w:tcPr>
            <w:tcW w:w="1497" w:type="dxa"/>
          </w:tcPr>
          <w:p w14:paraId="29705370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生产工艺简述</w:t>
            </w:r>
          </w:p>
        </w:tc>
        <w:tc>
          <w:tcPr>
            <w:tcW w:w="7124" w:type="dxa"/>
            <w:gridSpan w:val="2"/>
          </w:tcPr>
          <w:p w14:paraId="553DC75A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以食品级的红花籽油为原料，通过共轭化反应将其中的亚油酸转化成共轭亚油酸。</w:t>
            </w:r>
          </w:p>
        </w:tc>
      </w:tr>
      <w:tr w:rsidR="00AD4A32" w:rsidRPr="00F57E88" w14:paraId="7002C136" w14:textId="77777777">
        <w:trPr>
          <w:cantSplit/>
          <w:trHeight w:val="20"/>
        </w:trPr>
        <w:tc>
          <w:tcPr>
            <w:tcW w:w="1497" w:type="dxa"/>
          </w:tcPr>
          <w:p w14:paraId="61DF740A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食用量</w:t>
            </w:r>
          </w:p>
        </w:tc>
        <w:tc>
          <w:tcPr>
            <w:tcW w:w="7124" w:type="dxa"/>
            <w:gridSpan w:val="2"/>
          </w:tcPr>
          <w:p w14:paraId="54738D5B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克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/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天</w:t>
            </w:r>
          </w:p>
        </w:tc>
      </w:tr>
      <w:tr w:rsidR="00AD4A32" w:rsidRPr="00F57E88" w14:paraId="409FCC15" w14:textId="77777777">
        <w:trPr>
          <w:cantSplit/>
          <w:trHeight w:val="20"/>
        </w:trPr>
        <w:tc>
          <w:tcPr>
            <w:tcW w:w="1497" w:type="dxa"/>
            <w:vMerge w:val="restart"/>
          </w:tcPr>
          <w:p w14:paraId="34BB16B3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质量要求</w:t>
            </w:r>
          </w:p>
        </w:tc>
        <w:tc>
          <w:tcPr>
            <w:tcW w:w="3125" w:type="dxa"/>
            <w:vAlign w:val="center"/>
          </w:tcPr>
          <w:p w14:paraId="0862A207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性状</w:t>
            </w:r>
          </w:p>
        </w:tc>
        <w:tc>
          <w:tcPr>
            <w:tcW w:w="3999" w:type="dxa"/>
            <w:vAlign w:val="center"/>
          </w:tcPr>
          <w:p w14:paraId="4AEEA795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无色至淡黄色清澈、透明油状液体</w:t>
            </w:r>
          </w:p>
        </w:tc>
      </w:tr>
      <w:tr w:rsidR="00AD4A32" w:rsidRPr="00F57E88" w14:paraId="1A0F85B4" w14:textId="77777777">
        <w:trPr>
          <w:cantSplit/>
          <w:trHeight w:val="20"/>
        </w:trPr>
        <w:tc>
          <w:tcPr>
            <w:tcW w:w="1497" w:type="dxa"/>
            <w:vMerge/>
          </w:tcPr>
          <w:p w14:paraId="4D650A02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383DDA66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共轭亚油酸含量</w:t>
            </w:r>
          </w:p>
        </w:tc>
        <w:tc>
          <w:tcPr>
            <w:tcW w:w="3999" w:type="dxa"/>
            <w:vAlign w:val="center"/>
          </w:tcPr>
          <w:p w14:paraId="37F05592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700-800 mg/g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w/w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</w:tr>
      <w:tr w:rsidR="00AD4A32" w:rsidRPr="00F57E88" w14:paraId="0971132C" w14:textId="77777777">
        <w:trPr>
          <w:cantSplit/>
          <w:trHeight w:val="20"/>
        </w:trPr>
        <w:tc>
          <w:tcPr>
            <w:tcW w:w="1497" w:type="dxa"/>
            <w:vMerge/>
          </w:tcPr>
          <w:p w14:paraId="6088FEB0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029F9DE7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99" w:type="dxa"/>
            <w:vAlign w:val="center"/>
          </w:tcPr>
          <w:p w14:paraId="407952FA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78%-84%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气相，面积百分比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AD4A32" w:rsidRPr="00F57E88" w14:paraId="36B51F05" w14:textId="77777777">
        <w:trPr>
          <w:cantSplit/>
          <w:trHeight w:val="20"/>
        </w:trPr>
        <w:tc>
          <w:tcPr>
            <w:tcW w:w="1497" w:type="dxa"/>
            <w:vMerge/>
          </w:tcPr>
          <w:p w14:paraId="51F93B00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61595BCB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C18:1 9c</w:t>
            </w:r>
          </w:p>
        </w:tc>
        <w:tc>
          <w:tcPr>
            <w:tcW w:w="3999" w:type="dxa"/>
            <w:vAlign w:val="center"/>
          </w:tcPr>
          <w:p w14:paraId="3C23710F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10%-20%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07EEBC53" w14:textId="77777777">
        <w:trPr>
          <w:cantSplit/>
          <w:trHeight w:val="20"/>
        </w:trPr>
        <w:tc>
          <w:tcPr>
            <w:tcW w:w="1497" w:type="dxa"/>
            <w:vMerge/>
          </w:tcPr>
          <w:p w14:paraId="5D73E319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41DC1F95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棕榈酸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C16:0</w:t>
            </w:r>
          </w:p>
        </w:tc>
        <w:tc>
          <w:tcPr>
            <w:tcW w:w="3999" w:type="dxa"/>
            <w:vAlign w:val="center"/>
          </w:tcPr>
          <w:p w14:paraId="34B46761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4%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38CD36A6" w14:textId="77777777">
        <w:trPr>
          <w:cantSplit/>
          <w:trHeight w:val="20"/>
        </w:trPr>
        <w:tc>
          <w:tcPr>
            <w:tcW w:w="1497" w:type="dxa"/>
            <w:vMerge/>
          </w:tcPr>
          <w:p w14:paraId="6CBB6596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6C35167D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硬脂酸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C18:0</w:t>
            </w:r>
          </w:p>
        </w:tc>
        <w:tc>
          <w:tcPr>
            <w:tcW w:w="3999" w:type="dxa"/>
            <w:vAlign w:val="center"/>
          </w:tcPr>
          <w:p w14:paraId="4BACA1EF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4%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72AF5849" w14:textId="77777777">
        <w:trPr>
          <w:cantSplit/>
          <w:trHeight w:val="20"/>
        </w:trPr>
        <w:tc>
          <w:tcPr>
            <w:tcW w:w="1497" w:type="dxa"/>
            <w:vMerge/>
          </w:tcPr>
          <w:p w14:paraId="33B65C91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7609ED7B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C18:2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9c,12c</w:t>
            </w:r>
          </w:p>
        </w:tc>
        <w:tc>
          <w:tcPr>
            <w:tcW w:w="3999" w:type="dxa"/>
            <w:vAlign w:val="center"/>
          </w:tcPr>
          <w:p w14:paraId="75E87A79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738A46BB" w14:textId="77777777">
        <w:trPr>
          <w:cantSplit/>
          <w:trHeight w:val="20"/>
        </w:trPr>
        <w:tc>
          <w:tcPr>
            <w:tcW w:w="1497" w:type="dxa"/>
            <w:vMerge/>
          </w:tcPr>
          <w:p w14:paraId="4BDACAC0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124" w:type="dxa"/>
            <w:gridSpan w:val="2"/>
          </w:tcPr>
          <w:p w14:paraId="23A106B0" w14:textId="77777777" w:rsidR="00AD4A32" w:rsidRPr="00F57E88" w:rsidRDefault="00F57E8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共轭亚油酸异构体的组成</w:t>
            </w:r>
          </w:p>
        </w:tc>
      </w:tr>
      <w:tr w:rsidR="00AD4A32" w:rsidRPr="00F57E88" w14:paraId="2BA78154" w14:textId="77777777">
        <w:trPr>
          <w:cantSplit/>
          <w:trHeight w:val="20"/>
        </w:trPr>
        <w:tc>
          <w:tcPr>
            <w:tcW w:w="1497" w:type="dxa"/>
            <w:vMerge/>
          </w:tcPr>
          <w:p w14:paraId="1AC86800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154A896A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99" w:type="dxa"/>
            <w:vAlign w:val="center"/>
          </w:tcPr>
          <w:p w14:paraId="678670EF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37.5%-42.0%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0FE1D3E4" w14:textId="77777777">
        <w:trPr>
          <w:cantSplit/>
          <w:trHeight w:val="20"/>
        </w:trPr>
        <w:tc>
          <w:tcPr>
            <w:tcW w:w="1497" w:type="dxa"/>
            <w:vMerge/>
          </w:tcPr>
          <w:p w14:paraId="54193AB2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66EDADEE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 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99" w:type="dxa"/>
            <w:vAlign w:val="center"/>
          </w:tcPr>
          <w:p w14:paraId="4736798C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37.5%-42.0%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4D236904" w14:textId="77777777">
        <w:trPr>
          <w:cantSplit/>
          <w:trHeight w:val="20"/>
        </w:trPr>
        <w:tc>
          <w:tcPr>
            <w:tcW w:w="1497" w:type="dxa"/>
            <w:vMerge/>
          </w:tcPr>
          <w:p w14:paraId="658A981C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10FA528D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C18:2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9c,11c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10c,12c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异构体</w:t>
            </w:r>
          </w:p>
        </w:tc>
        <w:tc>
          <w:tcPr>
            <w:tcW w:w="3999" w:type="dxa"/>
            <w:vAlign w:val="center"/>
          </w:tcPr>
          <w:p w14:paraId="6E3D9FAC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0-3.0%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2E1B0AC8" w14:textId="77777777">
        <w:trPr>
          <w:cantSplit/>
          <w:trHeight w:val="20"/>
        </w:trPr>
        <w:tc>
          <w:tcPr>
            <w:tcW w:w="1497" w:type="dxa"/>
            <w:vMerge/>
          </w:tcPr>
          <w:p w14:paraId="6280AF12" w14:textId="77777777" w:rsidR="00AD4A32" w:rsidRPr="00F57E88" w:rsidRDefault="00AD4A32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25" w:type="dxa"/>
            <w:vAlign w:val="center"/>
          </w:tcPr>
          <w:p w14:paraId="7DC91F99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C18:2 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9t,11t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99" w:type="dxa"/>
            <w:vAlign w:val="center"/>
          </w:tcPr>
          <w:p w14:paraId="27CE3D86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1%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气相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，</w:t>
            </w:r>
            <w:r w:rsidRPr="00F57E8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面积百分比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）</w:t>
            </w:r>
          </w:p>
        </w:tc>
      </w:tr>
      <w:tr w:rsidR="00AD4A32" w:rsidRPr="00F57E88" w14:paraId="550656BA" w14:textId="77777777">
        <w:trPr>
          <w:cantSplit/>
          <w:trHeight w:val="20"/>
        </w:trPr>
        <w:tc>
          <w:tcPr>
            <w:tcW w:w="1497" w:type="dxa"/>
          </w:tcPr>
          <w:p w14:paraId="5E7970F9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其他需要说明的情况</w:t>
            </w:r>
          </w:p>
        </w:tc>
        <w:tc>
          <w:tcPr>
            <w:tcW w:w="7124" w:type="dxa"/>
            <w:gridSpan w:val="2"/>
            <w:vAlign w:val="center"/>
          </w:tcPr>
          <w:p w14:paraId="73EFE3E2" w14:textId="77777777" w:rsidR="00AD4A32" w:rsidRPr="00F57E88" w:rsidRDefault="00F57E88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使用范围：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1.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直接食用。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2.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脂肪、食用油和乳化脂肪制品，但不包括婴幼儿食品。</w:t>
            </w:r>
          </w:p>
        </w:tc>
      </w:tr>
    </w:tbl>
    <w:p w14:paraId="6F3A00B3" w14:textId="77777777" w:rsidR="00AD4A32" w:rsidRPr="00F57E88" w:rsidRDefault="00AD4A32">
      <w:pPr>
        <w:rPr>
          <w:rFonts w:asciiTheme="majorEastAsia" w:eastAsiaTheme="majorEastAsia" w:hAnsiTheme="majorEastAsia"/>
          <w:sz w:val="22"/>
          <w:szCs w:val="20"/>
        </w:rPr>
      </w:pPr>
    </w:p>
    <w:p w14:paraId="1F39B8C8" w14:textId="77777777" w:rsidR="00AD4A32" w:rsidRPr="00F57E88" w:rsidRDefault="00F57E88">
      <w:pPr>
        <w:spacing w:line="560" w:lineRule="exact"/>
        <w:ind w:firstLineChars="145" w:firstLine="466"/>
        <w:rPr>
          <w:rFonts w:asciiTheme="majorEastAsia" w:eastAsiaTheme="majorEastAsia" w:hAnsiTheme="majorEastAsia" w:cs="黑体"/>
          <w:color w:val="000000"/>
          <w:kern w:val="0"/>
          <w:sz w:val="22"/>
          <w:szCs w:val="22"/>
        </w:rPr>
      </w:pPr>
      <w:r w:rsidRPr="00F57E88">
        <w:rPr>
          <w:rFonts w:asciiTheme="majorEastAsia" w:eastAsiaTheme="majorEastAsia" w:hAnsiTheme="majorEastAsia"/>
          <w:b/>
          <w:szCs w:val="32"/>
        </w:rPr>
        <w:br w:type="page"/>
      </w:r>
      <w:r w:rsidRPr="00F57E88">
        <w:rPr>
          <w:rFonts w:asciiTheme="majorEastAsia" w:eastAsiaTheme="majorEastAsia" w:hAnsiTheme="majorEastAsia" w:cs="黑体" w:hint="eastAsia"/>
          <w:color w:val="000000"/>
          <w:kern w:val="0"/>
          <w:sz w:val="22"/>
          <w:szCs w:val="22"/>
        </w:rPr>
        <w:lastRenderedPageBreak/>
        <w:t>二、共轭亚油酸甘油酯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100"/>
        <w:gridCol w:w="3974"/>
      </w:tblGrid>
      <w:tr w:rsidR="00AD4A32" w:rsidRPr="00F57E88" w14:paraId="4D47AFF5" w14:textId="77777777">
        <w:trPr>
          <w:cantSplit/>
        </w:trPr>
        <w:tc>
          <w:tcPr>
            <w:tcW w:w="1547" w:type="dxa"/>
          </w:tcPr>
          <w:p w14:paraId="04729DE9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中文名称</w:t>
            </w:r>
          </w:p>
        </w:tc>
        <w:tc>
          <w:tcPr>
            <w:tcW w:w="7074" w:type="dxa"/>
            <w:gridSpan w:val="2"/>
            <w:vAlign w:val="center"/>
          </w:tcPr>
          <w:p w14:paraId="3C20B189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共轭亚油酸甘油酯</w:t>
            </w:r>
          </w:p>
        </w:tc>
      </w:tr>
      <w:tr w:rsidR="00AD4A32" w:rsidRPr="00F57E88" w14:paraId="4EEF284C" w14:textId="77777777">
        <w:trPr>
          <w:cantSplit/>
        </w:trPr>
        <w:tc>
          <w:tcPr>
            <w:tcW w:w="1547" w:type="dxa"/>
          </w:tcPr>
          <w:p w14:paraId="52362604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英文名称</w:t>
            </w:r>
          </w:p>
        </w:tc>
        <w:tc>
          <w:tcPr>
            <w:tcW w:w="7074" w:type="dxa"/>
            <w:gridSpan w:val="2"/>
            <w:vAlign w:val="center"/>
          </w:tcPr>
          <w:p w14:paraId="025D4365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Conjugated Linoleic Acid Glycerides</w:t>
            </w:r>
          </w:p>
        </w:tc>
      </w:tr>
      <w:tr w:rsidR="00AD4A32" w:rsidRPr="00F57E88" w14:paraId="27A5D08F" w14:textId="77777777">
        <w:trPr>
          <w:cantSplit/>
        </w:trPr>
        <w:tc>
          <w:tcPr>
            <w:tcW w:w="1547" w:type="dxa"/>
          </w:tcPr>
          <w:p w14:paraId="47E9C4B4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</w:t>
            </w:r>
          </w:p>
        </w:tc>
        <w:tc>
          <w:tcPr>
            <w:tcW w:w="7074" w:type="dxa"/>
            <w:gridSpan w:val="2"/>
            <w:vAlign w:val="center"/>
          </w:tcPr>
          <w:p w14:paraId="6E2BF6BE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共轭亚油酸甘油三酯</w:t>
            </w:r>
          </w:p>
        </w:tc>
      </w:tr>
      <w:tr w:rsidR="00AD4A32" w:rsidRPr="00F57E88" w14:paraId="199BF35D" w14:textId="77777777">
        <w:trPr>
          <w:cantSplit/>
          <w:trHeight w:val="2551"/>
        </w:trPr>
        <w:tc>
          <w:tcPr>
            <w:tcW w:w="1547" w:type="dxa"/>
          </w:tcPr>
          <w:p w14:paraId="1F3EC968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基本信息</w:t>
            </w:r>
          </w:p>
        </w:tc>
        <w:tc>
          <w:tcPr>
            <w:tcW w:w="7074" w:type="dxa"/>
            <w:gridSpan w:val="2"/>
          </w:tcPr>
          <w:p w14:paraId="46C14AE3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来源：红花籽油</w:t>
            </w:r>
          </w:p>
          <w:p w14:paraId="0062B179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主要成分的结构式：</w:t>
            </w:r>
          </w:p>
          <w:p w14:paraId="653F1B9D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drawing>
                <wp:inline distT="0" distB="0" distL="114300" distR="114300" wp14:anchorId="0B55EA9C" wp14:editId="7A162B59">
                  <wp:extent cx="990600" cy="904240"/>
                  <wp:effectExtent l="0" t="0" r="0" b="1016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339C4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（其中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R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是共轭亚油酸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或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顺式结构，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反式结构）</w:t>
            </w:r>
          </w:p>
        </w:tc>
      </w:tr>
      <w:tr w:rsidR="00AD4A32" w:rsidRPr="00F57E88" w14:paraId="496CB836" w14:textId="77777777">
        <w:trPr>
          <w:cantSplit/>
        </w:trPr>
        <w:tc>
          <w:tcPr>
            <w:tcW w:w="1547" w:type="dxa"/>
          </w:tcPr>
          <w:p w14:paraId="0ED4047D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生产工艺简述</w:t>
            </w:r>
          </w:p>
        </w:tc>
        <w:tc>
          <w:tcPr>
            <w:tcW w:w="7074" w:type="dxa"/>
            <w:gridSpan w:val="2"/>
            <w:vAlign w:val="center"/>
          </w:tcPr>
          <w:p w14:paraId="76BCF0BF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以食品级的红花籽油为原料，通过共轭化反应将其中的亚油酸转化成共轭亚油酸。然后以食品级脂肪酶为催化剂，将共轭亚油酸脂肪酸与甘油进行酯化，生成共轭亚油酸甘油酯。</w:t>
            </w:r>
          </w:p>
        </w:tc>
      </w:tr>
      <w:tr w:rsidR="00AD4A32" w:rsidRPr="00F57E88" w14:paraId="5E34EC53" w14:textId="77777777">
        <w:trPr>
          <w:cantSplit/>
        </w:trPr>
        <w:tc>
          <w:tcPr>
            <w:tcW w:w="1547" w:type="dxa"/>
          </w:tcPr>
          <w:p w14:paraId="6AE3CDF3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食用量</w:t>
            </w:r>
          </w:p>
        </w:tc>
        <w:tc>
          <w:tcPr>
            <w:tcW w:w="7074" w:type="dxa"/>
            <w:gridSpan w:val="2"/>
            <w:vAlign w:val="center"/>
          </w:tcPr>
          <w:p w14:paraId="4060D76B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克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天</w:t>
            </w:r>
          </w:p>
        </w:tc>
      </w:tr>
      <w:tr w:rsidR="00AD4A32" w:rsidRPr="00F57E88" w14:paraId="7BA87CAC" w14:textId="77777777">
        <w:trPr>
          <w:cantSplit/>
        </w:trPr>
        <w:tc>
          <w:tcPr>
            <w:tcW w:w="1547" w:type="dxa"/>
            <w:vMerge w:val="restart"/>
          </w:tcPr>
          <w:p w14:paraId="2F5B1ECB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质量要求</w:t>
            </w:r>
          </w:p>
        </w:tc>
        <w:tc>
          <w:tcPr>
            <w:tcW w:w="3100" w:type="dxa"/>
            <w:vAlign w:val="center"/>
          </w:tcPr>
          <w:p w14:paraId="55B92823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性状</w:t>
            </w:r>
          </w:p>
        </w:tc>
        <w:tc>
          <w:tcPr>
            <w:tcW w:w="3974" w:type="dxa"/>
            <w:vAlign w:val="center"/>
          </w:tcPr>
          <w:p w14:paraId="3B45B11D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无色至淡黄色清澈、透明油状液体</w:t>
            </w:r>
          </w:p>
        </w:tc>
      </w:tr>
      <w:tr w:rsidR="00AD4A32" w:rsidRPr="00F57E88" w14:paraId="6A127691" w14:textId="77777777">
        <w:trPr>
          <w:cantSplit/>
        </w:trPr>
        <w:tc>
          <w:tcPr>
            <w:tcW w:w="1547" w:type="dxa"/>
            <w:vMerge/>
          </w:tcPr>
          <w:p w14:paraId="09C3DC35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39E38B56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共轭亚油酸甘油三酯含量</w:t>
            </w:r>
          </w:p>
        </w:tc>
        <w:tc>
          <w:tcPr>
            <w:tcW w:w="3974" w:type="dxa"/>
            <w:vAlign w:val="center"/>
          </w:tcPr>
          <w:p w14:paraId="696530EA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77%-83%</w:t>
            </w:r>
          </w:p>
        </w:tc>
      </w:tr>
      <w:tr w:rsidR="00AD4A32" w:rsidRPr="00F57E88" w14:paraId="4FF50F63" w14:textId="77777777">
        <w:trPr>
          <w:cantSplit/>
        </w:trPr>
        <w:tc>
          <w:tcPr>
            <w:tcW w:w="1547" w:type="dxa"/>
            <w:vMerge/>
          </w:tcPr>
          <w:p w14:paraId="615B98A7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11FC21CD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共轭亚油酸甘油二酯含量</w:t>
            </w:r>
          </w:p>
        </w:tc>
        <w:tc>
          <w:tcPr>
            <w:tcW w:w="3974" w:type="dxa"/>
            <w:vAlign w:val="center"/>
          </w:tcPr>
          <w:p w14:paraId="10A974DD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17%-23%</w:t>
            </w:r>
          </w:p>
        </w:tc>
      </w:tr>
      <w:tr w:rsidR="00AD4A32" w:rsidRPr="00F57E88" w14:paraId="32F2203F" w14:textId="77777777">
        <w:trPr>
          <w:cantSplit/>
        </w:trPr>
        <w:tc>
          <w:tcPr>
            <w:tcW w:w="1547" w:type="dxa"/>
            <w:vMerge/>
          </w:tcPr>
          <w:p w14:paraId="075C1F49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7428F095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共轭亚油酸单甘酯含量</w:t>
            </w:r>
          </w:p>
        </w:tc>
        <w:tc>
          <w:tcPr>
            <w:tcW w:w="3974" w:type="dxa"/>
            <w:vAlign w:val="center"/>
          </w:tcPr>
          <w:p w14:paraId="61A285C1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1%</w:t>
            </w:r>
          </w:p>
        </w:tc>
      </w:tr>
      <w:tr w:rsidR="00AD4A32" w:rsidRPr="00F57E88" w14:paraId="6AE92782" w14:textId="77777777">
        <w:trPr>
          <w:cantSplit/>
        </w:trPr>
        <w:tc>
          <w:tcPr>
            <w:tcW w:w="1547" w:type="dxa"/>
            <w:vMerge/>
          </w:tcPr>
          <w:p w14:paraId="0DCBD048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74" w:type="dxa"/>
            <w:gridSpan w:val="2"/>
          </w:tcPr>
          <w:p w14:paraId="5F0200E5" w14:textId="77777777" w:rsidR="00AD4A32" w:rsidRPr="00F57E88" w:rsidRDefault="00F57E8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脂肪酸组成</w:t>
            </w:r>
          </w:p>
        </w:tc>
      </w:tr>
      <w:tr w:rsidR="00AD4A32" w:rsidRPr="00F57E88" w14:paraId="14BF87EE" w14:textId="77777777">
        <w:trPr>
          <w:cantSplit/>
        </w:trPr>
        <w:tc>
          <w:tcPr>
            <w:tcW w:w="1547" w:type="dxa"/>
            <w:vMerge/>
          </w:tcPr>
          <w:p w14:paraId="0D9D89A9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</w:tcPr>
          <w:p w14:paraId="6FB6CD5E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共轭亚油酸含量</w:t>
            </w:r>
          </w:p>
        </w:tc>
        <w:tc>
          <w:tcPr>
            <w:tcW w:w="3974" w:type="dxa"/>
          </w:tcPr>
          <w:p w14:paraId="52F17919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700-800 mg/g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w/w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</w:tr>
      <w:tr w:rsidR="00AD4A32" w:rsidRPr="00F57E88" w14:paraId="640DD2D9" w14:textId="77777777">
        <w:trPr>
          <w:cantSplit/>
        </w:trPr>
        <w:tc>
          <w:tcPr>
            <w:tcW w:w="1547" w:type="dxa"/>
            <w:vMerge/>
          </w:tcPr>
          <w:p w14:paraId="12CE72C1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15151FEC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 xml:space="preserve">C18:2 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74" w:type="dxa"/>
            <w:vAlign w:val="center"/>
          </w:tcPr>
          <w:p w14:paraId="667650FC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78%-84%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68466185" w14:textId="77777777">
        <w:trPr>
          <w:cantSplit/>
        </w:trPr>
        <w:tc>
          <w:tcPr>
            <w:tcW w:w="1547" w:type="dxa"/>
            <w:vMerge/>
          </w:tcPr>
          <w:p w14:paraId="015EBFFA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2AF797F0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C18:1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9c</w:t>
            </w:r>
          </w:p>
        </w:tc>
        <w:tc>
          <w:tcPr>
            <w:tcW w:w="3974" w:type="dxa"/>
            <w:vAlign w:val="center"/>
          </w:tcPr>
          <w:p w14:paraId="778C9BEA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10%-20%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7D3585C9" w14:textId="77777777">
        <w:trPr>
          <w:cantSplit/>
        </w:trPr>
        <w:tc>
          <w:tcPr>
            <w:tcW w:w="1547" w:type="dxa"/>
            <w:vMerge/>
          </w:tcPr>
          <w:p w14:paraId="6F181723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0A3C822B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棕榈酸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C16:0</w:t>
            </w:r>
          </w:p>
        </w:tc>
        <w:tc>
          <w:tcPr>
            <w:tcW w:w="3974" w:type="dxa"/>
            <w:vAlign w:val="center"/>
          </w:tcPr>
          <w:p w14:paraId="4E5A6730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4%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3A44FEF0" w14:textId="77777777">
        <w:trPr>
          <w:cantSplit/>
        </w:trPr>
        <w:tc>
          <w:tcPr>
            <w:tcW w:w="1547" w:type="dxa"/>
            <w:vMerge/>
          </w:tcPr>
          <w:p w14:paraId="095A58B3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6A09750F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硬脂酸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C18:0</w:t>
            </w:r>
          </w:p>
        </w:tc>
        <w:tc>
          <w:tcPr>
            <w:tcW w:w="3974" w:type="dxa"/>
            <w:vAlign w:val="center"/>
          </w:tcPr>
          <w:p w14:paraId="07DCBCD5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4%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2E579F62" w14:textId="77777777">
        <w:trPr>
          <w:cantSplit/>
        </w:trPr>
        <w:tc>
          <w:tcPr>
            <w:tcW w:w="1547" w:type="dxa"/>
            <w:vMerge/>
          </w:tcPr>
          <w:p w14:paraId="03F50293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69707C85" w14:textId="77777777" w:rsidR="00AD4A32" w:rsidRPr="00F57E88" w:rsidRDefault="00F57E88">
            <w:pPr>
              <w:snapToGrid w:val="0"/>
              <w:ind w:left="220" w:hangingChars="100" w:hanging="22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C18:2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9c,12c</w:t>
            </w:r>
          </w:p>
        </w:tc>
        <w:tc>
          <w:tcPr>
            <w:tcW w:w="3974" w:type="dxa"/>
            <w:vAlign w:val="center"/>
          </w:tcPr>
          <w:p w14:paraId="1B65E039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7AFA0DD6" w14:textId="77777777">
        <w:trPr>
          <w:cantSplit/>
        </w:trPr>
        <w:tc>
          <w:tcPr>
            <w:tcW w:w="1547" w:type="dxa"/>
            <w:vMerge/>
          </w:tcPr>
          <w:p w14:paraId="728A40AD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74" w:type="dxa"/>
            <w:gridSpan w:val="2"/>
          </w:tcPr>
          <w:p w14:paraId="3CE01107" w14:textId="77777777" w:rsidR="00AD4A32" w:rsidRPr="00F57E88" w:rsidRDefault="00F57E8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共轭亚油酸异构体的组成</w:t>
            </w:r>
          </w:p>
        </w:tc>
      </w:tr>
      <w:tr w:rsidR="00AD4A32" w:rsidRPr="00F57E88" w14:paraId="070C4E67" w14:textId="77777777">
        <w:trPr>
          <w:cantSplit/>
        </w:trPr>
        <w:tc>
          <w:tcPr>
            <w:tcW w:w="1547" w:type="dxa"/>
            <w:vMerge/>
          </w:tcPr>
          <w:p w14:paraId="65F1B1D7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044082EA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9c,11t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74" w:type="dxa"/>
            <w:vAlign w:val="center"/>
          </w:tcPr>
          <w:p w14:paraId="39EAFD83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37.5%-42.0%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55E617F6" w14:textId="77777777">
        <w:trPr>
          <w:cantSplit/>
        </w:trPr>
        <w:tc>
          <w:tcPr>
            <w:tcW w:w="1547" w:type="dxa"/>
            <w:vMerge/>
          </w:tcPr>
          <w:p w14:paraId="7E2887A7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73E90162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C18:2 10t,12c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74" w:type="dxa"/>
            <w:vAlign w:val="center"/>
          </w:tcPr>
          <w:p w14:paraId="4CE70636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37.5%-42.0%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622ACF30" w14:textId="77777777">
        <w:trPr>
          <w:cantSplit/>
          <w:trHeight w:val="1224"/>
        </w:trPr>
        <w:tc>
          <w:tcPr>
            <w:tcW w:w="1547" w:type="dxa"/>
            <w:vMerge/>
          </w:tcPr>
          <w:p w14:paraId="77322A1B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5A8643AB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C18:2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 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9c,11c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10c,12c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异构体</w:t>
            </w:r>
          </w:p>
        </w:tc>
        <w:tc>
          <w:tcPr>
            <w:tcW w:w="3974" w:type="dxa"/>
            <w:vAlign w:val="center"/>
          </w:tcPr>
          <w:p w14:paraId="6BDEECAE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0-3.0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（气相，面积百分比）</w:t>
            </w:r>
          </w:p>
        </w:tc>
      </w:tr>
      <w:tr w:rsidR="00AD4A32" w:rsidRPr="00F57E88" w14:paraId="7D18C420" w14:textId="77777777">
        <w:trPr>
          <w:cantSplit/>
        </w:trPr>
        <w:tc>
          <w:tcPr>
            <w:tcW w:w="1547" w:type="dxa"/>
            <w:vMerge/>
          </w:tcPr>
          <w:p w14:paraId="1F5B4792" w14:textId="77777777" w:rsidR="00AD4A32" w:rsidRPr="00F57E88" w:rsidRDefault="00AD4A32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00" w:type="dxa"/>
            <w:vAlign w:val="center"/>
          </w:tcPr>
          <w:p w14:paraId="0BD56B6F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共轭亚油酸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C18:2 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9t,11t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和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10t,12t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异构体</w:t>
            </w:r>
          </w:p>
        </w:tc>
        <w:tc>
          <w:tcPr>
            <w:tcW w:w="3974" w:type="dxa"/>
            <w:vAlign w:val="center"/>
          </w:tcPr>
          <w:p w14:paraId="15872811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＜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1%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气相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，</w:t>
            </w:r>
            <w:r w:rsidRPr="00F57E88">
              <w:rPr>
                <w:rFonts w:asciiTheme="majorEastAsia" w:eastAsiaTheme="majorEastAsia" w:hAnsiTheme="majorEastAsia" w:hint="eastAsia"/>
                <w:sz w:val="22"/>
                <w:szCs w:val="22"/>
              </w:rPr>
              <w:t>面积百分比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</w:tr>
      <w:tr w:rsidR="00AD4A32" w:rsidRPr="00F57E88" w14:paraId="6B48C033" w14:textId="77777777">
        <w:trPr>
          <w:cantSplit/>
          <w:trHeight w:val="2265"/>
        </w:trPr>
        <w:tc>
          <w:tcPr>
            <w:tcW w:w="1547" w:type="dxa"/>
          </w:tcPr>
          <w:p w14:paraId="3A29096B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lastRenderedPageBreak/>
              <w:t>其他需要说明的情况</w:t>
            </w:r>
          </w:p>
        </w:tc>
        <w:tc>
          <w:tcPr>
            <w:tcW w:w="7074" w:type="dxa"/>
            <w:gridSpan w:val="2"/>
          </w:tcPr>
          <w:p w14:paraId="535B2935" w14:textId="77777777" w:rsidR="00AD4A32" w:rsidRPr="00F57E88" w:rsidRDefault="00F57E8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使用范围：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1.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直接食用。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2.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乳及乳制品（纯乳除外）；脂肪、食用油和乳化脂肪制品；饮料类；冷冻饮品；可可制品、巧克力和巧克力制品以及糖果；杂粮粉及其制品；即食谷物、焙烤食品、咖啡，但不包括婴幼儿食品。</w:t>
            </w:r>
          </w:p>
        </w:tc>
      </w:tr>
    </w:tbl>
    <w:p w14:paraId="61025E95" w14:textId="77777777" w:rsidR="00AD4A32" w:rsidRPr="00F57E88" w:rsidRDefault="00AD4A32">
      <w:pPr>
        <w:rPr>
          <w:rFonts w:asciiTheme="majorEastAsia" w:eastAsiaTheme="majorEastAsia" w:hAnsiTheme="majorEastAsia"/>
          <w:sz w:val="22"/>
          <w:szCs w:val="20"/>
        </w:rPr>
      </w:pPr>
    </w:p>
    <w:p w14:paraId="32F37649" w14:textId="77777777" w:rsidR="00AD4A32" w:rsidRPr="00F57E88" w:rsidRDefault="00F57E88">
      <w:pPr>
        <w:ind w:firstLineChars="200" w:firstLine="440"/>
        <w:rPr>
          <w:rFonts w:asciiTheme="majorEastAsia" w:eastAsiaTheme="majorEastAsia" w:hAnsiTheme="majorEastAsia" w:cs="黑体"/>
          <w:color w:val="000000"/>
          <w:kern w:val="0"/>
          <w:sz w:val="22"/>
          <w:szCs w:val="22"/>
        </w:rPr>
      </w:pPr>
      <w:r w:rsidRPr="00F57E88">
        <w:rPr>
          <w:rFonts w:asciiTheme="majorEastAsia" w:eastAsiaTheme="majorEastAsia" w:hAnsiTheme="majorEastAsia" w:cs="黑体"/>
          <w:sz w:val="22"/>
          <w:szCs w:val="22"/>
        </w:rPr>
        <w:br w:type="page"/>
      </w:r>
      <w:r w:rsidRPr="00F57E88">
        <w:rPr>
          <w:rFonts w:asciiTheme="majorEastAsia" w:eastAsiaTheme="majorEastAsia" w:hAnsiTheme="majorEastAsia" w:cs="黑体" w:hint="eastAsia"/>
          <w:color w:val="000000"/>
          <w:kern w:val="0"/>
          <w:sz w:val="22"/>
          <w:szCs w:val="22"/>
        </w:rPr>
        <w:lastRenderedPageBreak/>
        <w:t>三、甘油二酯油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878"/>
        <w:gridCol w:w="2340"/>
      </w:tblGrid>
      <w:tr w:rsidR="00AD4A32" w:rsidRPr="00F57E88" w14:paraId="2A771C50" w14:textId="77777777">
        <w:trPr>
          <w:trHeight w:val="607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789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中文名称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484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甘油二酯油</w:t>
            </w:r>
          </w:p>
        </w:tc>
      </w:tr>
      <w:tr w:rsidR="00AD4A32" w:rsidRPr="00F57E88" w14:paraId="4CC78235" w14:textId="7777777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32B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英文名称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4BF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Diacylglycerol Oil</w:t>
            </w:r>
          </w:p>
        </w:tc>
      </w:tr>
      <w:tr w:rsidR="00AD4A32" w:rsidRPr="00F57E88" w14:paraId="7DAD6681" w14:textId="7777777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789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2CD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甘油二酯</w:t>
            </w:r>
          </w:p>
        </w:tc>
      </w:tr>
      <w:tr w:rsidR="00AD4A32" w:rsidRPr="00F57E88" w14:paraId="14176F9C" w14:textId="77777777">
        <w:trPr>
          <w:trHeight w:val="2516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05F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基本信息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7D995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来源：大豆油、菜籽油、花生油、玉米油</w:t>
            </w:r>
          </w:p>
          <w:p w14:paraId="49E2DE08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主要成分结构式：</w:t>
            </w:r>
          </w:p>
          <w:p w14:paraId="1F6CA3E5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drawing>
                <wp:inline distT="0" distB="0" distL="114300" distR="114300" wp14:anchorId="3F89FCE1" wp14:editId="2BB70DD8">
                  <wp:extent cx="2400300" cy="971550"/>
                  <wp:effectExtent l="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83CB8" w14:textId="77777777" w:rsidR="00AD4A32" w:rsidRPr="00F57E88" w:rsidRDefault="00F57E88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1,2-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甘油二酯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1,3-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甘油二酯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                         </w:t>
            </w:r>
          </w:p>
          <w:p w14:paraId="739E1EFB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（其中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COR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、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COR’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为饱和或不饱和脂肪酰基）</w:t>
            </w:r>
          </w:p>
        </w:tc>
      </w:tr>
      <w:tr w:rsidR="00AD4A32" w:rsidRPr="00F57E88" w14:paraId="0F74D8E6" w14:textId="7777777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0DA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生产工艺简述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957" w14:textId="77777777" w:rsidR="00AD4A32" w:rsidRPr="00F57E88" w:rsidRDefault="00F57E8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以大豆油、菜籽油等为原料，以脂肪酶制剂、水、甘油等为主要辅料，通过脂肪酶催化，经蒸馏分离、脱色、脱臭等工艺而制成。</w:t>
            </w:r>
          </w:p>
        </w:tc>
      </w:tr>
      <w:tr w:rsidR="00AD4A32" w:rsidRPr="00F57E88" w14:paraId="3E4E670B" w14:textId="77777777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E50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食用量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3BB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≤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30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克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天</w:t>
            </w:r>
          </w:p>
        </w:tc>
      </w:tr>
      <w:tr w:rsidR="00AD4A32" w:rsidRPr="00F57E88" w14:paraId="6AAF2A4B" w14:textId="77777777">
        <w:trPr>
          <w:trHeight w:val="78"/>
          <w:jc w:val="center"/>
        </w:trPr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3EDFB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质量要求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FFC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性状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C4E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透明状液体</w:t>
            </w:r>
          </w:p>
        </w:tc>
      </w:tr>
      <w:tr w:rsidR="00AD4A32" w:rsidRPr="00F57E88" w14:paraId="325CD9CF" w14:textId="77777777">
        <w:trPr>
          <w:trHeight w:val="78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76E8" w14:textId="77777777" w:rsidR="00AD4A32" w:rsidRPr="00F57E88" w:rsidRDefault="00AD4A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7F30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甘油二酯含量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DA3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≥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40%</w:t>
            </w:r>
          </w:p>
        </w:tc>
      </w:tr>
      <w:tr w:rsidR="00AD4A32" w:rsidRPr="00F57E88" w14:paraId="49A2F4F9" w14:textId="77777777">
        <w:trPr>
          <w:trHeight w:val="78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9864" w14:textId="77777777" w:rsidR="00AD4A32" w:rsidRPr="00F57E88" w:rsidRDefault="00AD4A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506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甘油三酯含量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A913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≤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58%</w:t>
            </w:r>
          </w:p>
        </w:tc>
      </w:tr>
      <w:tr w:rsidR="00AD4A32" w:rsidRPr="00F57E88" w14:paraId="0041C79B" w14:textId="77777777">
        <w:trPr>
          <w:trHeight w:val="78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E1B5" w14:textId="77777777" w:rsidR="00AD4A32" w:rsidRPr="00F57E88" w:rsidRDefault="00AD4A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9CA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单</w:t>
            </w:r>
            <w:r w:rsidRPr="00F57E8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甘</w:t>
            </w:r>
            <w:r w:rsidRPr="00F57E8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酯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含量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C43B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≤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1.5%</w:t>
            </w:r>
          </w:p>
        </w:tc>
      </w:tr>
      <w:tr w:rsidR="00AD4A32" w:rsidRPr="00F57E88" w14:paraId="767D47C3" w14:textId="77777777">
        <w:trPr>
          <w:trHeight w:val="78"/>
          <w:jc w:val="center"/>
        </w:trPr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33350" w14:textId="77777777" w:rsidR="00AD4A32" w:rsidRPr="00F57E88" w:rsidRDefault="00AD4A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7223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游离脂肪酸含量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421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≤</w:t>
            </w: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0.5%</w:t>
            </w:r>
          </w:p>
        </w:tc>
      </w:tr>
      <w:tr w:rsidR="00AD4A32" w:rsidRPr="00F57E88" w14:paraId="711E56AF" w14:textId="77777777">
        <w:trPr>
          <w:trHeight w:val="1132"/>
          <w:jc w:val="center"/>
        </w:trPr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3F36F4C2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其他需要说明的情况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620" w14:textId="77777777" w:rsidR="00AD4A32" w:rsidRPr="00F57E88" w:rsidRDefault="00F57E8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7E88">
              <w:rPr>
                <w:rFonts w:asciiTheme="majorEastAsia" w:eastAsiaTheme="majorEastAsia" w:hAnsiTheme="majorEastAsia"/>
                <w:sz w:val="22"/>
                <w:szCs w:val="22"/>
              </w:rPr>
              <w:t>使用范围不包括婴幼儿食品。</w:t>
            </w:r>
          </w:p>
        </w:tc>
      </w:tr>
      <w:bookmarkEnd w:id="0"/>
    </w:tbl>
    <w:p w14:paraId="33F06858" w14:textId="77777777" w:rsidR="00AD4A32" w:rsidRPr="00F57E88" w:rsidRDefault="00AD4A32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  <w:szCs w:val="20"/>
        </w:rPr>
      </w:pPr>
    </w:p>
    <w:sectPr w:rsidR="00AD4A32" w:rsidRPr="00F57E88">
      <w:headerReference w:type="default" r:id="rId13"/>
      <w:footerReference w:type="default" r:id="rId14"/>
      <w:pgSz w:w="11906" w:h="16838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24AC" w14:textId="77777777" w:rsidR="00000000" w:rsidRDefault="00F57E88">
      <w:r>
        <w:separator/>
      </w:r>
    </w:p>
  </w:endnote>
  <w:endnote w:type="continuationSeparator" w:id="0">
    <w:p w14:paraId="5D3A6CB1" w14:textId="77777777" w:rsidR="00000000" w:rsidRDefault="00F5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Liberation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A11D" w14:textId="77777777" w:rsidR="00AD4A32" w:rsidRDefault="00F57E88"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  <w:r>
      <w:rPr>
        <w:rFonts w:eastAsia="宋体"/>
        <w:sz w:val="18"/>
        <w:szCs w:val="18"/>
      </w:rPr>
      <w:fldChar w:fldCharType="begin"/>
    </w:r>
    <w:r>
      <w:rPr>
        <w:rFonts w:eastAsia="宋体"/>
        <w:sz w:val="18"/>
        <w:szCs w:val="18"/>
      </w:rPr>
      <w:instrText>PAGE   \* MERGEFORMAT</w:instrText>
    </w:r>
    <w:r>
      <w:rPr>
        <w:rFonts w:eastAsia="宋体"/>
        <w:sz w:val="18"/>
        <w:szCs w:val="18"/>
      </w:rPr>
      <w:fldChar w:fldCharType="separate"/>
    </w:r>
    <w:r>
      <w:rPr>
        <w:rFonts w:eastAsia="宋体"/>
        <w:sz w:val="18"/>
        <w:szCs w:val="18"/>
        <w:lang w:val="zh-CN"/>
      </w:rPr>
      <w:t>2</w:t>
    </w:r>
    <w:r>
      <w:rPr>
        <w:rFonts w:eastAsia="宋体"/>
        <w:sz w:val="18"/>
        <w:szCs w:val="18"/>
      </w:rPr>
      <w:fldChar w:fldCharType="end"/>
    </w:r>
  </w:p>
  <w:p w14:paraId="0F3EBFB6" w14:textId="77777777" w:rsidR="00AD4A32" w:rsidRDefault="00AD4A32"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E399" w14:textId="77777777" w:rsidR="00000000" w:rsidRDefault="00F57E88">
      <w:r>
        <w:separator/>
      </w:r>
    </w:p>
  </w:footnote>
  <w:footnote w:type="continuationSeparator" w:id="0">
    <w:p w14:paraId="5C3EA4E9" w14:textId="77777777" w:rsidR="00000000" w:rsidRDefault="00F5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EA1B" w14:textId="77777777" w:rsidR="00AD4A32" w:rsidRDefault="00AD4A32">
    <w:pPr>
      <w:tabs>
        <w:tab w:val="center" w:pos="4153"/>
        <w:tab w:val="right" w:pos="8306"/>
      </w:tabs>
      <w:snapToGrid w:val="0"/>
      <w:jc w:val="center"/>
      <w:rPr>
        <w:rFonts w:eastAsia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E2"/>
    <w:rsid w:val="875F9D16"/>
    <w:rsid w:val="8DCF521C"/>
    <w:rsid w:val="A59F276C"/>
    <w:rsid w:val="AEBBCAF7"/>
    <w:rsid w:val="B77E2176"/>
    <w:rsid w:val="B7B55EB0"/>
    <w:rsid w:val="B98B933C"/>
    <w:rsid w:val="BA7B23C6"/>
    <w:rsid w:val="BAF91174"/>
    <w:rsid w:val="BCBF1187"/>
    <w:rsid w:val="BDFEC933"/>
    <w:rsid w:val="BEF7133D"/>
    <w:rsid w:val="BFC66A52"/>
    <w:rsid w:val="BFEEA856"/>
    <w:rsid w:val="BFF57CBF"/>
    <w:rsid w:val="C6E3F604"/>
    <w:rsid w:val="CEE8EB0C"/>
    <w:rsid w:val="CEFDA30D"/>
    <w:rsid w:val="CFFFFDC1"/>
    <w:rsid w:val="D7FEA272"/>
    <w:rsid w:val="D8FBEF9A"/>
    <w:rsid w:val="DDD3A168"/>
    <w:rsid w:val="DDD7E303"/>
    <w:rsid w:val="DFFB50EA"/>
    <w:rsid w:val="E7F5F3F1"/>
    <w:rsid w:val="EEBF0D52"/>
    <w:rsid w:val="EF4D4305"/>
    <w:rsid w:val="EF720329"/>
    <w:rsid w:val="EF7968CC"/>
    <w:rsid w:val="EFCF1909"/>
    <w:rsid w:val="EFEF81E4"/>
    <w:rsid w:val="EFF62B17"/>
    <w:rsid w:val="EFFA4411"/>
    <w:rsid w:val="EFFF263E"/>
    <w:rsid w:val="F3B7DDE1"/>
    <w:rsid w:val="F5BDBB66"/>
    <w:rsid w:val="F5CD6A46"/>
    <w:rsid w:val="F75DAAB9"/>
    <w:rsid w:val="F7FF2DB5"/>
    <w:rsid w:val="F7FF30FD"/>
    <w:rsid w:val="F8B6E1D8"/>
    <w:rsid w:val="FA320DF0"/>
    <w:rsid w:val="FAAF64DC"/>
    <w:rsid w:val="FB4F1B77"/>
    <w:rsid w:val="FBBE9B82"/>
    <w:rsid w:val="FCDE0EB9"/>
    <w:rsid w:val="FCF30FF1"/>
    <w:rsid w:val="FCFDFD4B"/>
    <w:rsid w:val="FCFED6D2"/>
    <w:rsid w:val="FDBE237D"/>
    <w:rsid w:val="FDD549C8"/>
    <w:rsid w:val="FDEC3DD4"/>
    <w:rsid w:val="FDFDEF08"/>
    <w:rsid w:val="FF1A2A8F"/>
    <w:rsid w:val="FF9B6621"/>
    <w:rsid w:val="FF9F8B46"/>
    <w:rsid w:val="FFD1ABD7"/>
    <w:rsid w:val="FFEE78A7"/>
    <w:rsid w:val="FFF59532"/>
    <w:rsid w:val="FFFA55C0"/>
    <w:rsid w:val="FFFF858E"/>
    <w:rsid w:val="00071D18"/>
    <w:rsid w:val="00105471"/>
    <w:rsid w:val="001430ED"/>
    <w:rsid w:val="0014509C"/>
    <w:rsid w:val="001565C6"/>
    <w:rsid w:val="001E0616"/>
    <w:rsid w:val="001E461C"/>
    <w:rsid w:val="002824E2"/>
    <w:rsid w:val="002E6C8F"/>
    <w:rsid w:val="00331784"/>
    <w:rsid w:val="00383757"/>
    <w:rsid w:val="003950B5"/>
    <w:rsid w:val="003C6ADF"/>
    <w:rsid w:val="003E2068"/>
    <w:rsid w:val="00401852"/>
    <w:rsid w:val="004402B6"/>
    <w:rsid w:val="004835B4"/>
    <w:rsid w:val="004B3ADB"/>
    <w:rsid w:val="004D1934"/>
    <w:rsid w:val="004D55F0"/>
    <w:rsid w:val="005D5184"/>
    <w:rsid w:val="005F6EFF"/>
    <w:rsid w:val="00634D60"/>
    <w:rsid w:val="0069329E"/>
    <w:rsid w:val="006D6940"/>
    <w:rsid w:val="00702104"/>
    <w:rsid w:val="0073702C"/>
    <w:rsid w:val="00773650"/>
    <w:rsid w:val="007A0F70"/>
    <w:rsid w:val="007D1923"/>
    <w:rsid w:val="008811B0"/>
    <w:rsid w:val="0089494D"/>
    <w:rsid w:val="008B256B"/>
    <w:rsid w:val="008C0654"/>
    <w:rsid w:val="008C24AC"/>
    <w:rsid w:val="008E3AF6"/>
    <w:rsid w:val="009021EC"/>
    <w:rsid w:val="0090297F"/>
    <w:rsid w:val="00912619"/>
    <w:rsid w:val="00936F88"/>
    <w:rsid w:val="009B29A5"/>
    <w:rsid w:val="009E66F9"/>
    <w:rsid w:val="00A2744D"/>
    <w:rsid w:val="00A31601"/>
    <w:rsid w:val="00A35A08"/>
    <w:rsid w:val="00A860C0"/>
    <w:rsid w:val="00AA3D61"/>
    <w:rsid w:val="00AD4A32"/>
    <w:rsid w:val="00AD5620"/>
    <w:rsid w:val="00AE55E3"/>
    <w:rsid w:val="00B03829"/>
    <w:rsid w:val="00BC7F8B"/>
    <w:rsid w:val="00CB5B3A"/>
    <w:rsid w:val="00CE34DE"/>
    <w:rsid w:val="00CF080F"/>
    <w:rsid w:val="00D0517C"/>
    <w:rsid w:val="00D33733"/>
    <w:rsid w:val="00D4656C"/>
    <w:rsid w:val="00D64101"/>
    <w:rsid w:val="00E344D0"/>
    <w:rsid w:val="00EF5A83"/>
    <w:rsid w:val="00F056D4"/>
    <w:rsid w:val="00F16EA5"/>
    <w:rsid w:val="00F57E88"/>
    <w:rsid w:val="00F71189"/>
    <w:rsid w:val="00F91AD5"/>
    <w:rsid w:val="00F93664"/>
    <w:rsid w:val="00FC5251"/>
    <w:rsid w:val="00FD1DBD"/>
    <w:rsid w:val="00FE3671"/>
    <w:rsid w:val="16D26F4B"/>
    <w:rsid w:val="1BFC277B"/>
    <w:rsid w:val="1BFF76FB"/>
    <w:rsid w:val="24817FFE"/>
    <w:rsid w:val="33AB5737"/>
    <w:rsid w:val="36378EFF"/>
    <w:rsid w:val="3639C66A"/>
    <w:rsid w:val="37EF2D0B"/>
    <w:rsid w:val="3AE74C10"/>
    <w:rsid w:val="3EFB707A"/>
    <w:rsid w:val="3F315ECF"/>
    <w:rsid w:val="3FDFF4A3"/>
    <w:rsid w:val="3FEA7126"/>
    <w:rsid w:val="4C7F766B"/>
    <w:rsid w:val="4FFF67FA"/>
    <w:rsid w:val="5452EE55"/>
    <w:rsid w:val="57BD0E2F"/>
    <w:rsid w:val="57D37123"/>
    <w:rsid w:val="59774108"/>
    <w:rsid w:val="5B7F6C95"/>
    <w:rsid w:val="5B9E7E21"/>
    <w:rsid w:val="5BF3FAB9"/>
    <w:rsid w:val="5BFFF080"/>
    <w:rsid w:val="5DEF468A"/>
    <w:rsid w:val="5F4FF9AF"/>
    <w:rsid w:val="5FDF20F7"/>
    <w:rsid w:val="643D23C7"/>
    <w:rsid w:val="67DA211B"/>
    <w:rsid w:val="67E556D8"/>
    <w:rsid w:val="67EFB6D3"/>
    <w:rsid w:val="67FF2592"/>
    <w:rsid w:val="6D7DC6E1"/>
    <w:rsid w:val="6F9FD3B0"/>
    <w:rsid w:val="6FC5B1D2"/>
    <w:rsid w:val="6FFDB14C"/>
    <w:rsid w:val="6FFF2C40"/>
    <w:rsid w:val="71686D61"/>
    <w:rsid w:val="71F3624A"/>
    <w:rsid w:val="73F7BCD4"/>
    <w:rsid w:val="74A7B524"/>
    <w:rsid w:val="75EC376F"/>
    <w:rsid w:val="76FAB0AD"/>
    <w:rsid w:val="76FF98FE"/>
    <w:rsid w:val="77223F9B"/>
    <w:rsid w:val="777E300E"/>
    <w:rsid w:val="77A61AA9"/>
    <w:rsid w:val="77FF384F"/>
    <w:rsid w:val="79379E2B"/>
    <w:rsid w:val="799F20DE"/>
    <w:rsid w:val="7A1B2FF5"/>
    <w:rsid w:val="7AFD147D"/>
    <w:rsid w:val="7BD54015"/>
    <w:rsid w:val="7BDBD68F"/>
    <w:rsid w:val="7BE6627E"/>
    <w:rsid w:val="7BFF9442"/>
    <w:rsid w:val="7E95FDA9"/>
    <w:rsid w:val="7EA772B6"/>
    <w:rsid w:val="7EBFAB63"/>
    <w:rsid w:val="7FBC9350"/>
    <w:rsid w:val="7FBDAC04"/>
    <w:rsid w:val="7FC34E55"/>
    <w:rsid w:val="7FCB76F4"/>
    <w:rsid w:val="7FD96BE0"/>
    <w:rsid w:val="7FDF436F"/>
    <w:rsid w:val="7F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0B6263"/>
  <w15:docId w15:val="{3FC6B224-8F99-4337-8AD2-48071DDC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a4">
    <w:name w:val="批注框文本 字符"/>
    <w:link w:val="a3"/>
    <w:qFormat/>
    <w:rPr>
      <w:rFonts w:eastAsia="仿宋_GB2312"/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a">
    <w:name w:val="副标题 字符"/>
    <w:link w:val="a9"/>
    <w:qFormat/>
    <w:rPr>
      <w:rFonts w:ascii="Cambria" w:eastAsia="楷体_GB2312" w:hAnsi="Cambria" w:cs="Times New Roman"/>
      <w:b/>
      <w:bCs/>
      <w:kern w:val="28"/>
      <w:sz w:val="32"/>
      <w:szCs w:val="32"/>
    </w:rPr>
  </w:style>
  <w:style w:type="paragraph" w:customStyle="1" w:styleId="11">
    <w:name w:val="样式1"/>
    <w:basedOn w:val="a"/>
    <w:qFormat/>
    <w:rPr>
      <w:rFonts w:ascii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290</Words>
  <Characters>1658</Characters>
  <Application>Microsoft Office Word</Application>
  <DocSecurity>0</DocSecurity>
  <Lines>13</Lines>
  <Paragraphs>3</Paragraphs>
  <ScaleCrop>false</ScaleCrop>
  <Company>Powerise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</dc:title>
  <dc:creator>vv</dc:creator>
  <cp:lastModifiedBy>admin</cp:lastModifiedBy>
  <cp:revision>3</cp:revision>
  <cp:lastPrinted>2021-07-26T11:24:00Z</cp:lastPrinted>
  <dcterms:created xsi:type="dcterms:W3CDTF">2013-07-20T22:25:00Z</dcterms:created>
  <dcterms:modified xsi:type="dcterms:W3CDTF">2021-08-16T01:37:00Z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